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66085"/>
      <w:bookmarkEnd w:id="0"/>
      <w:bookmarkStart w:id="1" w:name="_Hlt450066087"/>
      <w:bookmarkEnd w:id="1"/>
      <w:bookmarkStart w:id="2" w:name="_Hlt450039480"/>
      <w:bookmarkEnd w:id="2"/>
      <w:bookmarkStart w:id="3" w:name="_Hlt450051172"/>
      <w:bookmarkEnd w:id="3"/>
      <w:bookmarkStart w:id="4" w:name="_Hlt448930105"/>
      <w:bookmarkEnd w:id="4"/>
      <w:bookmarkStart w:id="5" w:name="_Hlt449016246"/>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90</w:t>
      </w:r>
      <w:r>
        <w:rPr>
          <w:rFonts w:hint="eastAsia" w:ascii="Arial" w:hAnsi="Arial" w:cs="Arial"/>
          <w:b/>
          <w:sz w:val="24"/>
          <w:szCs w:val="24"/>
          <w:highlight w:val="none"/>
          <w:lang w:val="en-US" w:eastAsia="zh-CN"/>
        </w:rPr>
        <w:t>bis</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903561</w:t>
      </w:r>
      <w:bookmarkStart w:id="7" w:name="_GoBack"/>
      <w:bookmarkEnd w:id="7"/>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Xian</w:t>
      </w:r>
      <w:r>
        <w:rPr>
          <w:rFonts w:hint="eastAsia" w:ascii="Arial" w:hAnsi="Arial" w:eastAsia="宋体"/>
          <w:b/>
          <w:sz w:val="24"/>
          <w:szCs w:val="24"/>
          <w:lang w:eastAsia="zh-CN"/>
        </w:rPr>
        <w:t xml:space="preserve">, </w:t>
      </w:r>
      <w:r>
        <w:rPr>
          <w:rFonts w:hint="eastAsia" w:ascii="Arial" w:hAnsi="Arial"/>
          <w:b/>
          <w:sz w:val="24"/>
          <w:szCs w:val="24"/>
          <w:lang w:val="en-US" w:eastAsia="zh-CN"/>
        </w:rPr>
        <w:t>China</w:t>
      </w:r>
      <w:r>
        <w:rPr>
          <w:rFonts w:ascii="Arial" w:hAnsi="Arial" w:eastAsia="宋体"/>
          <w:b/>
          <w:sz w:val="24"/>
          <w:szCs w:val="24"/>
          <w:lang w:eastAsia="zh-CN"/>
        </w:rPr>
        <w:t xml:space="preserve">, </w:t>
      </w:r>
      <w:r>
        <w:rPr>
          <w:rFonts w:hint="eastAsia" w:ascii="Arial" w:hAnsi="Arial"/>
          <w:b/>
          <w:sz w:val="24"/>
          <w:szCs w:val="24"/>
          <w:lang w:val="en-US" w:eastAsia="zh-CN"/>
        </w:rPr>
        <w:t>8</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 xml:space="preserve">Apr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b/>
          <w:sz w:val="24"/>
          <w:szCs w:val="24"/>
          <w:lang w:val="en-US" w:eastAsia="zh-CN"/>
        </w:rPr>
        <w:t>12</w:t>
      </w:r>
      <w:r>
        <w:rPr>
          <w:rFonts w:hint="eastAsia" w:ascii="Arial" w:hAnsi="Arial"/>
          <w:b/>
          <w:sz w:val="24"/>
          <w:szCs w:val="24"/>
          <w:vertAlign w:val="superscript"/>
          <w:lang w:val="en-US" w:eastAsia="zh-CN"/>
        </w:rPr>
        <w:t>th</w:t>
      </w:r>
      <w:r>
        <w:rPr>
          <w:rFonts w:hint="eastAsia" w:ascii="Arial" w:hAnsi="Arial"/>
          <w:b/>
          <w:sz w:val="24"/>
          <w:szCs w:val="24"/>
          <w:lang w:val="en-US" w:eastAsia="zh-CN"/>
        </w:rPr>
        <w:t xml:space="preserve"> Apr</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discussion on frequency range for EMC RE test</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6.9.2.1</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eastAsia"/>
          <w:lang w:val="en-US" w:eastAsia="zh-CN"/>
        </w:rPr>
      </w:pPr>
      <w:r>
        <w:rPr>
          <w:rFonts w:hint="eastAsia"/>
          <w:color w:val="000000" w:themeColor="text1"/>
          <w:sz w:val="20"/>
          <w:lang w:val="en-US" w:eastAsia="zh-CN"/>
          <w14:textFill>
            <w14:solidFill>
              <w14:schemeClr w14:val="tx1"/>
            </w14:solidFill>
          </w14:textFill>
        </w:rPr>
        <w:t>The radiated emission test frequency for BS type 1-C and BS type 1-H are stated in subclause 8.2.1 in  BS EMC standards [1]. Those statements are not coincident with [2] and [3]</w:t>
      </w:r>
      <w:r>
        <w:rPr>
          <w:rFonts w:hint="eastAsia"/>
          <w:lang w:val="en-US" w:eastAsia="zh-CN"/>
        </w:rPr>
        <w:t>.</w:t>
      </w:r>
    </w:p>
    <w:p>
      <w:pPr>
        <w:pStyle w:val="2"/>
        <w:rPr>
          <w:lang w:eastAsia="zh-CN"/>
        </w:rPr>
      </w:pPr>
      <w:r>
        <w:rPr>
          <w:lang w:eastAsia="zh-CN"/>
        </w:rPr>
        <w:t>Discussion</w:t>
      </w:r>
    </w:p>
    <w:p>
      <w:pPr>
        <w:rPr>
          <w:rFonts w:hint="eastAsia"/>
          <w:color w:val="000000" w:themeColor="text1"/>
          <w:sz w:val="20"/>
          <w:lang w:val="en-US" w:eastAsia="zh-CN"/>
          <w14:textFill>
            <w14:solidFill>
              <w14:schemeClr w14:val="tx1"/>
            </w14:solidFill>
          </w14:textFill>
        </w:rPr>
      </w:pPr>
      <w:r>
        <w:rPr>
          <w:rFonts w:hint="eastAsia"/>
          <w:vertAlign w:val="baseline"/>
          <w:lang w:val="en-US" w:eastAsia="zh-CN"/>
        </w:rPr>
        <w:t xml:space="preserve">Subclause 8.2.1 in </w:t>
      </w:r>
      <w:r>
        <w:rPr>
          <w:rFonts w:hint="eastAsia"/>
          <w:color w:val="000000" w:themeColor="text1"/>
          <w:sz w:val="20"/>
          <w:lang w:val="en-US" w:eastAsia="zh-CN"/>
          <w14:textFill>
            <w14:solidFill>
              <w14:schemeClr w14:val="tx1"/>
            </w14:solidFill>
          </w14:textFill>
        </w:rPr>
        <w:t>[1] described the upper limit frequency for RE measurements was 12.75GHz.</w:t>
      </w:r>
    </w:p>
    <w:p>
      <w:pPr>
        <w:rPr>
          <w:rFonts w:hint="eastAsia"/>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 xml:space="preserve">Subclause </w:t>
      </w:r>
      <w:r>
        <w:rPr>
          <w:rFonts w:hint="default"/>
          <w:color w:val="000000" w:themeColor="text1"/>
          <w:sz w:val="20"/>
          <w:lang w:val="en-US" w:eastAsia="zh-CN"/>
          <w14:textFill>
            <w14:solidFill>
              <w14:schemeClr w14:val="tx1"/>
            </w14:solidFill>
          </w14:textFill>
        </w:rPr>
        <w:t>6.6.5</w:t>
      </w:r>
      <w:r>
        <w:rPr>
          <w:rFonts w:hint="eastAsia"/>
          <w:color w:val="000000" w:themeColor="text1"/>
          <w:sz w:val="20"/>
          <w:lang w:val="en-US" w:eastAsia="zh-CN"/>
          <w14:textFill>
            <w14:solidFill>
              <w14:schemeClr w14:val="tx1"/>
            </w14:solidFill>
          </w14:textFill>
        </w:rPr>
        <w:t xml:space="preserve"> in [2] described the upper limit frequency for t</w:t>
      </w:r>
      <w:r>
        <w:rPr>
          <w:rFonts w:hint="default"/>
          <w:color w:val="000000" w:themeColor="text1"/>
          <w:sz w:val="20"/>
          <w:lang w:val="en-US" w:eastAsia="zh-CN"/>
          <w14:textFill>
            <w14:solidFill>
              <w14:schemeClr w14:val="tx1"/>
            </w14:solidFill>
          </w14:textFill>
        </w:rPr>
        <w:t>ransmitter spurious emissions</w:t>
      </w:r>
      <w:r>
        <w:rPr>
          <w:rFonts w:hint="eastAsia"/>
          <w:color w:val="000000" w:themeColor="text1"/>
          <w:sz w:val="20"/>
          <w:lang w:val="en-US" w:eastAsia="zh-CN"/>
          <w14:textFill>
            <w14:solidFill>
              <w14:schemeClr w14:val="tx1"/>
            </w14:solidFill>
          </w14:textFill>
        </w:rPr>
        <w:t xml:space="preserve"> was 5th harmonic of the upper frequency edge of the DL operating band in GHz. While the 5th harmonic of the upper frequency edge of the DL operating band in GHz was lower than 12.75GHz, the upper limit frequency would be 12.75GHz.</w:t>
      </w:r>
    </w:p>
    <w:p>
      <w:pPr>
        <w:rPr>
          <w:rFonts w:hint="eastAsia"/>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The table 1 in [3] described the frequency range for measurement of unwanted emissions as the following table.</w:t>
      </w:r>
    </w:p>
    <w:tbl>
      <w:tblPr>
        <w:tblStyle w:val="52"/>
        <w:tblW w:w="96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9"/>
        <w:gridCol w:w="2109"/>
        <w:gridCol w:w="5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keepNext/>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ascii="Times New Roman" w:hAnsi="Times New Roman" w:eastAsia="Times New Roman" w:cs="Times New Roman"/>
                <w:b/>
                <w:i/>
                <w:iCs/>
                <w:sz w:val="22"/>
                <w:lang w:val="en-US" w:eastAsia="en-US" w:bidi="ar-SA"/>
              </w:rPr>
            </w:pPr>
            <w:r>
              <w:rPr>
                <w:rFonts w:ascii="Times New Roman" w:hAnsi="Times New Roman" w:eastAsia="Times New Roman" w:cs="Times New Roman"/>
                <w:b/>
                <w:i/>
                <w:iCs/>
                <w:sz w:val="22"/>
                <w:lang w:val="en-US" w:eastAsia="en-US" w:bidi="ar-SA"/>
              </w:rPr>
              <w:t xml:space="preserve">Fundamental </w:t>
            </w:r>
            <w:r>
              <w:rPr>
                <w:rFonts w:ascii="Times New Roman" w:hAnsi="Times New Roman" w:eastAsia="Times New Roman" w:cs="Times New Roman"/>
                <w:b/>
                <w:i/>
                <w:iCs/>
                <w:sz w:val="22"/>
                <w:lang w:val="en-US" w:eastAsia="en-US" w:bidi="ar-SA"/>
              </w:rPr>
              <w:br w:type="textWrapping"/>
            </w:r>
            <w:r>
              <w:rPr>
                <w:rFonts w:ascii="Times New Roman" w:hAnsi="Times New Roman" w:eastAsia="Times New Roman" w:cs="Times New Roman"/>
                <w:b/>
                <w:i/>
                <w:iCs/>
                <w:sz w:val="22"/>
                <w:lang w:val="en-US" w:eastAsia="en-US" w:bidi="ar-SA"/>
              </w:rPr>
              <w:t>frequency range</w:t>
            </w:r>
          </w:p>
        </w:tc>
        <w:tc>
          <w:tcPr>
            <w:tcW w:w="7530" w:type="dxa"/>
            <w:gridSpan w:val="2"/>
            <w:vAlign w:val="center"/>
          </w:tcPr>
          <w:p>
            <w:pPr>
              <w:keepNext/>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ascii="Times New Roman" w:hAnsi="Times New Roman" w:eastAsia="Times New Roman" w:cs="Times New Roman"/>
                <w:b/>
                <w:i/>
                <w:iCs/>
                <w:sz w:val="22"/>
                <w:lang w:val="en-US" w:eastAsia="en-US" w:bidi="ar-SA"/>
              </w:rPr>
            </w:pPr>
            <w:r>
              <w:rPr>
                <w:rFonts w:ascii="Times New Roman" w:hAnsi="Times New Roman" w:eastAsia="Times New Roman" w:cs="Times New Roman"/>
                <w:b/>
                <w:i/>
                <w:iCs/>
                <w:sz w:val="22"/>
                <w:lang w:val="en-US" w:eastAsia="en-US" w:bidi="ar-SA"/>
              </w:rPr>
              <w:t>Frequency range for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keepNext/>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ascii="Times New Roman" w:hAnsi="Times New Roman" w:eastAsia="Times New Roman" w:cs="Times New Roman"/>
                <w:b/>
                <w:i/>
                <w:iCs/>
                <w:sz w:val="22"/>
                <w:lang w:val="en-US" w:eastAsia="en-US" w:bidi="ar-SA"/>
              </w:rPr>
            </w:pPr>
          </w:p>
        </w:tc>
        <w:tc>
          <w:tcPr>
            <w:tcW w:w="2109" w:type="dxa"/>
            <w:vAlign w:val="center"/>
          </w:tcPr>
          <w:p>
            <w:pPr>
              <w:keepNext/>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ascii="Times New Roman" w:hAnsi="Times New Roman" w:eastAsia="Times New Roman" w:cs="Times New Roman"/>
                <w:b/>
                <w:i/>
                <w:iCs/>
                <w:sz w:val="22"/>
                <w:lang w:val="en-US" w:eastAsia="en-US" w:bidi="ar-SA"/>
              </w:rPr>
            </w:pPr>
            <w:r>
              <w:rPr>
                <w:rFonts w:ascii="Times New Roman" w:hAnsi="Times New Roman" w:eastAsia="Times New Roman" w:cs="Times New Roman"/>
                <w:b/>
                <w:i/>
                <w:iCs/>
                <w:sz w:val="22"/>
                <w:lang w:val="en-US" w:eastAsia="en-US" w:bidi="ar-SA"/>
              </w:rPr>
              <w:t>Lower limit</w:t>
            </w:r>
          </w:p>
        </w:tc>
        <w:tc>
          <w:tcPr>
            <w:tcW w:w="5421" w:type="dxa"/>
            <w:vAlign w:val="center"/>
          </w:tcPr>
          <w:p>
            <w:pPr>
              <w:keepNext/>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ascii="Times New Roman" w:hAnsi="Times New Roman" w:eastAsia="Times New Roman" w:cs="Times New Roman"/>
                <w:b/>
                <w:i/>
                <w:iCs/>
                <w:sz w:val="22"/>
                <w:lang w:val="en-US" w:eastAsia="en-US" w:bidi="ar-SA"/>
              </w:rPr>
            </w:pPr>
            <w:r>
              <w:rPr>
                <w:rFonts w:ascii="Times New Roman" w:hAnsi="Times New Roman" w:eastAsia="Times New Roman" w:cs="Times New Roman"/>
                <w:b/>
                <w:i/>
                <w:iCs/>
                <w:sz w:val="22"/>
                <w:lang w:val="en-US" w:eastAsia="en-US" w:bidi="ar-SA"/>
              </w:rPr>
              <w:t>Upper limit</w:t>
            </w:r>
            <w:r>
              <w:rPr>
                <w:rFonts w:ascii="Times New Roman" w:hAnsi="Times New Roman" w:eastAsia="Times New Roman" w:cs="Times New Roman"/>
                <w:b/>
                <w:i/>
                <w:iCs/>
                <w:sz w:val="22"/>
                <w:lang w:val="en-US" w:eastAsia="en-US" w:bidi="ar-SA"/>
              </w:rPr>
              <w:br w:type="textWrapping"/>
            </w:r>
            <w:r>
              <w:rPr>
                <w:rFonts w:ascii="Times New Roman" w:hAnsi="Times New Roman" w:eastAsia="Times New Roman" w:cs="Times New Roman"/>
                <w:b/>
                <w:i/>
                <w:iCs/>
                <w:sz w:val="22"/>
                <w:lang w:val="en-US" w:eastAsia="en-US" w:bidi="ar-SA"/>
              </w:rPr>
              <w:t>(The test should include the entire harmonic</w:t>
            </w:r>
            <w:r>
              <w:rPr>
                <w:rFonts w:ascii="Times New Roman" w:hAnsi="Times New Roman" w:eastAsia="Times New Roman" w:cs="Times New Roman"/>
                <w:b/>
                <w:i/>
                <w:iCs/>
                <w:sz w:val="22"/>
                <w:lang w:val="en-US" w:eastAsia="en-US" w:bidi="ar-SA"/>
              </w:rPr>
              <w:br w:type="textWrapping"/>
            </w:r>
            <w:r>
              <w:rPr>
                <w:rFonts w:ascii="Times New Roman" w:hAnsi="Times New Roman" w:eastAsia="Times New Roman" w:cs="Times New Roman"/>
                <w:b/>
                <w:i/>
                <w:iCs/>
                <w:sz w:val="22"/>
                <w:lang w:val="en-US" w:eastAsia="en-US" w:bidi="ar-SA"/>
              </w:rPr>
              <w:t>band and not be truncated at the precise</w:t>
            </w:r>
            <w:r>
              <w:rPr>
                <w:rFonts w:ascii="Times New Roman" w:hAnsi="Times New Roman" w:eastAsia="Times New Roman" w:cs="Times New Roman"/>
                <w:b/>
                <w:i/>
                <w:iCs/>
                <w:sz w:val="22"/>
                <w:lang w:val="en-US" w:eastAsia="en-US" w:bidi="ar-SA"/>
              </w:rPr>
              <w:br w:type="textWrapping"/>
            </w:r>
            <w:r>
              <w:rPr>
                <w:rFonts w:ascii="Times New Roman" w:hAnsi="Times New Roman" w:eastAsia="Times New Roman" w:cs="Times New Roman"/>
                <w:b/>
                <w:i/>
                <w:iCs/>
                <w:sz w:val="22"/>
                <w:lang w:val="en-US" w:eastAsia="en-US" w:bidi="ar-SA"/>
              </w:rPr>
              <w:t>upper frequency limit stated)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9 kHz-100 MHz</w:t>
            </w:r>
          </w:p>
        </w:tc>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9 kHz</w:t>
            </w:r>
          </w:p>
        </w:tc>
        <w:tc>
          <w:tcPr>
            <w:tcW w:w="5421"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100 MHz-300 MHz</w:t>
            </w:r>
          </w:p>
        </w:tc>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9 kHz</w:t>
            </w:r>
          </w:p>
        </w:tc>
        <w:tc>
          <w:tcPr>
            <w:tcW w:w="5421"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10</w:t>
            </w:r>
            <w:r>
              <w:rPr>
                <w:rFonts w:ascii="Times New Roman" w:hAnsi="Times New Roman" w:eastAsia="Times New Roman" w:cs="Times New Roman"/>
                <w:i/>
                <w:iCs/>
                <w:sz w:val="22"/>
                <w:vertAlign w:val="superscript"/>
                <w:lang w:val="en-US" w:eastAsia="en-US" w:bidi="ar-SA"/>
              </w:rPr>
              <w:t>th</w:t>
            </w:r>
            <w:r>
              <w:rPr>
                <w:rFonts w:ascii="Times New Roman" w:hAnsi="Times New Roman" w:eastAsia="Times New Roman" w:cs="Times New Roman"/>
                <w:i/>
                <w:iCs/>
                <w:sz w:val="22"/>
                <w:lang w:val="en-US" w:eastAsia="en-US" w:bidi="ar-SA"/>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300 MHz-600 MHz</w:t>
            </w:r>
          </w:p>
        </w:tc>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30 MHz</w:t>
            </w:r>
          </w:p>
        </w:tc>
        <w:tc>
          <w:tcPr>
            <w:tcW w:w="5421"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600 MHz-5.2 GHz</w:t>
            </w:r>
          </w:p>
        </w:tc>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30 MHz</w:t>
            </w:r>
          </w:p>
        </w:tc>
        <w:tc>
          <w:tcPr>
            <w:tcW w:w="5421"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5</w:t>
            </w:r>
            <w:r>
              <w:rPr>
                <w:rFonts w:ascii="Times New Roman" w:hAnsi="Times New Roman" w:eastAsia="Times New Roman" w:cs="Times New Roman"/>
                <w:i/>
                <w:iCs/>
                <w:sz w:val="22"/>
                <w:vertAlign w:val="superscript"/>
                <w:lang w:val="en-US" w:eastAsia="en-US" w:bidi="ar-SA"/>
              </w:rPr>
              <w:t>th</w:t>
            </w:r>
            <w:r>
              <w:rPr>
                <w:rFonts w:ascii="Times New Roman" w:hAnsi="Times New Roman" w:eastAsia="Times New Roman" w:cs="Times New Roman"/>
                <w:i/>
                <w:iCs/>
                <w:sz w:val="22"/>
                <w:lang w:val="en-US" w:eastAsia="en-US" w:bidi="ar-SA"/>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5.2 GHz-13 GHz</w:t>
            </w:r>
          </w:p>
        </w:tc>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30 MHz</w:t>
            </w:r>
          </w:p>
        </w:tc>
        <w:tc>
          <w:tcPr>
            <w:tcW w:w="5421"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13 GHz-150 GHz</w:t>
            </w:r>
          </w:p>
        </w:tc>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30 MHz</w:t>
            </w:r>
          </w:p>
        </w:tc>
        <w:tc>
          <w:tcPr>
            <w:tcW w:w="5421"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2</w:t>
            </w:r>
            <w:r>
              <w:rPr>
                <w:rFonts w:ascii="Times New Roman" w:hAnsi="Times New Roman" w:eastAsia="Times New Roman" w:cs="Times New Roman"/>
                <w:i/>
                <w:iCs/>
                <w:sz w:val="22"/>
                <w:vertAlign w:val="superscript"/>
                <w:lang w:val="en-US" w:eastAsia="en-US" w:bidi="ar-SA"/>
              </w:rPr>
              <w:t>nd</w:t>
            </w:r>
            <w:r>
              <w:rPr>
                <w:rFonts w:ascii="Times New Roman" w:hAnsi="Times New Roman" w:eastAsia="Times New Roman" w:cs="Times New Roman"/>
                <w:i/>
                <w:iCs/>
                <w:sz w:val="22"/>
                <w:lang w:val="en-US" w:eastAsia="en-US" w:bidi="ar-SA"/>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150 GHz-300 GHz</w:t>
            </w:r>
          </w:p>
        </w:tc>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30 MHz</w:t>
            </w:r>
          </w:p>
        </w:tc>
        <w:tc>
          <w:tcPr>
            <w:tcW w:w="5421"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300 GHz</w:t>
            </w:r>
          </w:p>
        </w:tc>
      </w:tr>
    </w:tbl>
    <w:p>
      <w:pPr>
        <w:rPr>
          <w:rFonts w:hint="eastAsia"/>
          <w:b/>
          <w:bCs/>
          <w:lang w:val="en-US" w:eastAsia="zh-CN"/>
        </w:rPr>
      </w:pPr>
    </w:p>
    <w:p>
      <w:pPr>
        <w:rPr>
          <w:rFonts w:hint="default"/>
          <w:b/>
          <w:bCs/>
          <w:lang w:val="en-US" w:eastAsia="zh-CN"/>
        </w:rPr>
      </w:pPr>
      <w:r>
        <w:rPr>
          <w:rFonts w:hint="eastAsia"/>
          <w:b/>
          <w:bCs/>
          <w:lang w:val="en-US" w:eastAsia="zh-CN"/>
        </w:rPr>
        <w:t>Observation: The upper frequency range for NR FR1 BS was 6GHz. The upper frequency 12.75GHz for NR FR1 BS RE test can</w:t>
      </w:r>
      <w:r>
        <w:rPr>
          <w:rFonts w:hint="default"/>
          <w:b/>
          <w:bCs/>
          <w:lang w:val="en-US" w:eastAsia="zh-CN"/>
        </w:rPr>
        <w:t>’</w:t>
      </w:r>
      <w:r>
        <w:rPr>
          <w:rFonts w:hint="eastAsia"/>
          <w:b/>
          <w:bCs/>
          <w:lang w:val="en-US" w:eastAsia="zh-CN"/>
        </w:rPr>
        <w:t>t catch the enough harmonic spurious emission from the NR BS working on the higher frequency.</w:t>
      </w:r>
    </w:p>
    <w:p>
      <w:pPr>
        <w:jc w:val="both"/>
        <w:rPr>
          <w:rFonts w:hint="default"/>
          <w:b/>
          <w:bCs/>
          <w:lang w:val="en-US" w:eastAsia="zh-CN"/>
        </w:rPr>
      </w:pPr>
      <w:r>
        <w:rPr>
          <w:rFonts w:hint="eastAsia"/>
          <w:b/>
          <w:bCs/>
          <w:lang w:val="en-US" w:eastAsia="zh-CN"/>
        </w:rPr>
        <w:t>Proposal: Updated the upper frequency for NR BS RE test from 12.75GHz to 5th harmonic of the DL operating band.</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the discussion of RE frequency range and the observation and proposal are:</w:t>
      </w:r>
    </w:p>
    <w:p>
      <w:pPr>
        <w:rPr>
          <w:rFonts w:hint="default"/>
          <w:b/>
          <w:bCs/>
          <w:lang w:val="en-US" w:eastAsia="zh-CN"/>
        </w:rPr>
      </w:pPr>
      <w:r>
        <w:rPr>
          <w:rFonts w:hint="eastAsia"/>
          <w:b/>
          <w:bCs/>
          <w:lang w:val="en-US" w:eastAsia="zh-CN"/>
        </w:rPr>
        <w:t>Observation: The upper frequency range for NR FR1 BS was 6GHz. The upper frequency 12.75GHz for NR FR1 BS RE test can</w:t>
      </w:r>
      <w:r>
        <w:rPr>
          <w:rFonts w:hint="default"/>
          <w:b/>
          <w:bCs/>
          <w:lang w:val="en-US" w:eastAsia="zh-CN"/>
        </w:rPr>
        <w:t>’</w:t>
      </w:r>
      <w:r>
        <w:rPr>
          <w:rFonts w:hint="eastAsia"/>
          <w:b/>
          <w:bCs/>
          <w:lang w:val="en-US" w:eastAsia="zh-CN"/>
        </w:rPr>
        <w:t>t catch the enough harmonic spurious emission from the NR BS working on the higher frequency.</w:t>
      </w:r>
    </w:p>
    <w:p>
      <w:pPr>
        <w:jc w:val="both"/>
        <w:rPr>
          <w:rFonts w:hint="default"/>
          <w:b/>
          <w:bCs/>
          <w:lang w:val="en-US" w:eastAsia="zh-CN"/>
        </w:rPr>
      </w:pPr>
      <w:r>
        <w:rPr>
          <w:rFonts w:hint="eastAsia"/>
          <w:b/>
          <w:bCs/>
          <w:lang w:val="en-US" w:eastAsia="zh-CN"/>
        </w:rPr>
        <w:t>Proposal: Updated the upper frequency for NR BS RE test from 12.75GHz to 5th harmonic of the DL operating band.</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TS 38.113, 3rd Generation Partnership Project;Technical Specification Group Radio Access Network;NR;Base Station (BS) ElectroMagnetic Compatibility (EMC)</w:t>
      </w:r>
    </w:p>
    <w:p>
      <w:pPr>
        <w:pStyle w:val="93"/>
        <w:rPr>
          <w:rFonts w:hint="eastAsia"/>
          <w:lang w:val="en-US" w:eastAsia="zh-CN"/>
        </w:rPr>
      </w:pPr>
      <w:r>
        <w:rPr>
          <w:rFonts w:hint="eastAsia"/>
          <w:lang w:val="en-US" w:eastAsia="zh-CN"/>
        </w:rPr>
        <w:t>TS 38.104, 3rd Generation Partnership Project;Technical Specification Group Radio Access Network;NR;Base Station (BS) radio transmission and reception(Release 15)</w:t>
      </w:r>
    </w:p>
    <w:p>
      <w:pPr>
        <w:pStyle w:val="93"/>
        <w:rPr>
          <w:rFonts w:hint="eastAsia"/>
          <w:lang w:val="en-US" w:eastAsia="zh-CN"/>
        </w:rPr>
      </w:pPr>
      <w:r>
        <w:rPr>
          <w:rFonts w:hint="eastAsia"/>
          <w:lang w:val="en-US" w:eastAsia="zh-CN"/>
        </w:rPr>
        <w:t>ITU-R  SM.329-12, Unwanted emissions in the spurious domain</w:t>
      </w: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28"/>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1B7127"/>
    <w:rsid w:val="0252547F"/>
    <w:rsid w:val="02C65454"/>
    <w:rsid w:val="031C4CB7"/>
    <w:rsid w:val="03AA77A6"/>
    <w:rsid w:val="04763DB6"/>
    <w:rsid w:val="047C7717"/>
    <w:rsid w:val="05963C46"/>
    <w:rsid w:val="07194BEB"/>
    <w:rsid w:val="092F347C"/>
    <w:rsid w:val="094D0600"/>
    <w:rsid w:val="0A2960EF"/>
    <w:rsid w:val="0B790392"/>
    <w:rsid w:val="0BE16E54"/>
    <w:rsid w:val="0C90604D"/>
    <w:rsid w:val="0CBC21A6"/>
    <w:rsid w:val="0D885B5C"/>
    <w:rsid w:val="0D8A1C03"/>
    <w:rsid w:val="0E763984"/>
    <w:rsid w:val="0EE8621E"/>
    <w:rsid w:val="0FBB53A3"/>
    <w:rsid w:val="10561550"/>
    <w:rsid w:val="108C25AB"/>
    <w:rsid w:val="11CE6ABD"/>
    <w:rsid w:val="12116912"/>
    <w:rsid w:val="1354200B"/>
    <w:rsid w:val="13867FC8"/>
    <w:rsid w:val="139C0323"/>
    <w:rsid w:val="15B13CC5"/>
    <w:rsid w:val="166C0F69"/>
    <w:rsid w:val="169E6FF0"/>
    <w:rsid w:val="18244A12"/>
    <w:rsid w:val="1A670C75"/>
    <w:rsid w:val="1BB41235"/>
    <w:rsid w:val="1BDD4E03"/>
    <w:rsid w:val="1C3E5BEE"/>
    <w:rsid w:val="1D000C57"/>
    <w:rsid w:val="1D9D6581"/>
    <w:rsid w:val="1E4067BA"/>
    <w:rsid w:val="1E9A2C7A"/>
    <w:rsid w:val="1F697F0E"/>
    <w:rsid w:val="1F825716"/>
    <w:rsid w:val="20484B28"/>
    <w:rsid w:val="205270E7"/>
    <w:rsid w:val="20B1597C"/>
    <w:rsid w:val="21107C64"/>
    <w:rsid w:val="21472AD0"/>
    <w:rsid w:val="21C109E9"/>
    <w:rsid w:val="21D67E69"/>
    <w:rsid w:val="225847F9"/>
    <w:rsid w:val="23597F29"/>
    <w:rsid w:val="24541EC9"/>
    <w:rsid w:val="288B0F82"/>
    <w:rsid w:val="28E63C49"/>
    <w:rsid w:val="29D25E5C"/>
    <w:rsid w:val="2A351867"/>
    <w:rsid w:val="2CD613D2"/>
    <w:rsid w:val="2D153347"/>
    <w:rsid w:val="2D2A1CF1"/>
    <w:rsid w:val="2E0A65A8"/>
    <w:rsid w:val="2F7808DB"/>
    <w:rsid w:val="30885017"/>
    <w:rsid w:val="31C725D8"/>
    <w:rsid w:val="31E70315"/>
    <w:rsid w:val="32352858"/>
    <w:rsid w:val="33957597"/>
    <w:rsid w:val="33AC3E9B"/>
    <w:rsid w:val="346B6A82"/>
    <w:rsid w:val="35063958"/>
    <w:rsid w:val="35DA3A34"/>
    <w:rsid w:val="377F030D"/>
    <w:rsid w:val="381708BF"/>
    <w:rsid w:val="38313DA5"/>
    <w:rsid w:val="38B038AB"/>
    <w:rsid w:val="39BD0890"/>
    <w:rsid w:val="3CAA1627"/>
    <w:rsid w:val="3D3210E1"/>
    <w:rsid w:val="3E2E3C0E"/>
    <w:rsid w:val="3E3602D5"/>
    <w:rsid w:val="3EE436F8"/>
    <w:rsid w:val="405209B8"/>
    <w:rsid w:val="414D70C7"/>
    <w:rsid w:val="422431F5"/>
    <w:rsid w:val="42395B94"/>
    <w:rsid w:val="424B558A"/>
    <w:rsid w:val="426B0E00"/>
    <w:rsid w:val="42AE4A66"/>
    <w:rsid w:val="42EE355E"/>
    <w:rsid w:val="43F45753"/>
    <w:rsid w:val="44204329"/>
    <w:rsid w:val="451A2E72"/>
    <w:rsid w:val="452D7077"/>
    <w:rsid w:val="458D2E61"/>
    <w:rsid w:val="45D61D1B"/>
    <w:rsid w:val="465B1E95"/>
    <w:rsid w:val="467823B0"/>
    <w:rsid w:val="46ED68DD"/>
    <w:rsid w:val="48866A0F"/>
    <w:rsid w:val="4A015527"/>
    <w:rsid w:val="4B112B71"/>
    <w:rsid w:val="4BA52676"/>
    <w:rsid w:val="4C6B12AB"/>
    <w:rsid w:val="4C9C1426"/>
    <w:rsid w:val="4CBE1380"/>
    <w:rsid w:val="4D8D0EED"/>
    <w:rsid w:val="4E0B7835"/>
    <w:rsid w:val="4E6374A0"/>
    <w:rsid w:val="4EDC2D82"/>
    <w:rsid w:val="50101CBA"/>
    <w:rsid w:val="50502B31"/>
    <w:rsid w:val="52A4335A"/>
    <w:rsid w:val="54966634"/>
    <w:rsid w:val="54BB7899"/>
    <w:rsid w:val="569C053A"/>
    <w:rsid w:val="571479C7"/>
    <w:rsid w:val="58BA16F6"/>
    <w:rsid w:val="5A1C2F07"/>
    <w:rsid w:val="5AA73CA5"/>
    <w:rsid w:val="5B9B36BD"/>
    <w:rsid w:val="5C844C0E"/>
    <w:rsid w:val="5D5A5641"/>
    <w:rsid w:val="5D5E4B33"/>
    <w:rsid w:val="5DD85B0C"/>
    <w:rsid w:val="5E720882"/>
    <w:rsid w:val="5E8C6849"/>
    <w:rsid w:val="5FBE7D86"/>
    <w:rsid w:val="6120442E"/>
    <w:rsid w:val="61392C49"/>
    <w:rsid w:val="61E91DC1"/>
    <w:rsid w:val="61EB6DF6"/>
    <w:rsid w:val="628B20F9"/>
    <w:rsid w:val="65ED19B5"/>
    <w:rsid w:val="672762CB"/>
    <w:rsid w:val="67A84266"/>
    <w:rsid w:val="68FE10CA"/>
    <w:rsid w:val="69954D46"/>
    <w:rsid w:val="6A650E24"/>
    <w:rsid w:val="6AB03EB3"/>
    <w:rsid w:val="6AEB526C"/>
    <w:rsid w:val="6C560643"/>
    <w:rsid w:val="6C5C4755"/>
    <w:rsid w:val="6CC47F20"/>
    <w:rsid w:val="6D6A226E"/>
    <w:rsid w:val="6D9E564E"/>
    <w:rsid w:val="6E647BAA"/>
    <w:rsid w:val="6E6C55F9"/>
    <w:rsid w:val="6E73050D"/>
    <w:rsid w:val="6ED8743F"/>
    <w:rsid w:val="6F166551"/>
    <w:rsid w:val="6F7A5B80"/>
    <w:rsid w:val="70994298"/>
    <w:rsid w:val="70A779CE"/>
    <w:rsid w:val="73653AD9"/>
    <w:rsid w:val="752B36B1"/>
    <w:rsid w:val="75D44E15"/>
    <w:rsid w:val="77BD025C"/>
    <w:rsid w:val="792A63C1"/>
    <w:rsid w:val="7A0C6A43"/>
    <w:rsid w:val="7A4608C1"/>
    <w:rsid w:val="7B882BF8"/>
    <w:rsid w:val="7BD75797"/>
    <w:rsid w:val="7C8034ED"/>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6</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cp:lastModifiedBy>
  <cp:lastPrinted>2015-01-14T18:53:00Z</cp:lastPrinted>
  <dcterms:modified xsi:type="dcterms:W3CDTF">2019-04-01T08:37:12Z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